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32E" w:rsidRPr="00594D8C" w:rsidRDefault="0084532E" w:rsidP="008F0749">
      <w:pPr>
        <w:pStyle w:val="Nadpis3"/>
        <w:spacing w:after="360"/>
        <w:jc w:val="left"/>
        <w:rPr>
          <w:rFonts w:ascii="Times New Roman" w:hAnsi="Times New Roman"/>
          <w:color w:val="auto"/>
          <w:sz w:val="24"/>
          <w:szCs w:val="24"/>
        </w:rPr>
      </w:pPr>
      <w:r w:rsidRPr="00594D8C">
        <w:rPr>
          <w:rFonts w:ascii="Times New Roman" w:hAnsi="Times New Roman"/>
          <w:color w:val="auto"/>
          <w:sz w:val="24"/>
          <w:szCs w:val="24"/>
        </w:rPr>
        <w:t xml:space="preserve">Příloha </w:t>
      </w:r>
      <w:r w:rsidR="009774C2" w:rsidRPr="00594D8C">
        <w:rPr>
          <w:rFonts w:ascii="Times New Roman" w:hAnsi="Times New Roman"/>
          <w:color w:val="auto"/>
          <w:sz w:val="24"/>
          <w:szCs w:val="24"/>
        </w:rPr>
        <w:t xml:space="preserve">č. </w:t>
      </w:r>
      <w:r w:rsidR="00332E61" w:rsidRPr="00594D8C">
        <w:rPr>
          <w:rFonts w:ascii="Times New Roman" w:hAnsi="Times New Roman"/>
          <w:color w:val="auto"/>
          <w:sz w:val="24"/>
          <w:szCs w:val="24"/>
        </w:rPr>
        <w:t>2</w:t>
      </w:r>
    </w:p>
    <w:p w:rsidR="0084532E" w:rsidRPr="00594D8C" w:rsidRDefault="0084532E" w:rsidP="00B95317">
      <w:pPr>
        <w:pStyle w:val="Nadpis3"/>
        <w:spacing w:after="240"/>
        <w:jc w:val="left"/>
        <w:rPr>
          <w:rFonts w:ascii="Times New Roman" w:hAnsi="Times New Roman"/>
          <w:color w:val="auto"/>
          <w:sz w:val="24"/>
          <w:szCs w:val="24"/>
        </w:rPr>
      </w:pPr>
      <w:r w:rsidRPr="00594D8C">
        <w:rPr>
          <w:rFonts w:ascii="Times New Roman" w:hAnsi="Times New Roman"/>
          <w:color w:val="auto"/>
          <w:sz w:val="24"/>
          <w:szCs w:val="24"/>
        </w:rPr>
        <w:t>Stávající programy výzkumu, vývoje a inovací na národní úrovni a programy výzkumu, vývoje a inovací na mezinárodní úrovni</w:t>
      </w:r>
    </w:p>
    <w:p w:rsidR="0084532E" w:rsidRPr="00594D8C" w:rsidRDefault="008F0749" w:rsidP="00B95317">
      <w:pPr>
        <w:numPr>
          <w:ilvl w:val="0"/>
          <w:numId w:val="6"/>
        </w:numPr>
        <w:spacing w:after="120"/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</w:pPr>
      <w:r w:rsidRPr="00594D8C"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  <w:t>Stávající programy výzkumu, vývoje a inovací na národní úrovni</w:t>
      </w:r>
    </w:p>
    <w:p w:rsidR="0084532E" w:rsidRPr="00594D8C" w:rsidRDefault="0084532E" w:rsidP="00B95317">
      <w:pPr>
        <w:pStyle w:val="Nadpis4"/>
        <w:spacing w:before="240"/>
        <w:rPr>
          <w:color w:val="auto"/>
        </w:rPr>
      </w:pPr>
      <w:bookmarkStart w:id="0" w:name="_Toc396715518"/>
      <w:r w:rsidRPr="00594D8C">
        <w:rPr>
          <w:color w:val="auto"/>
        </w:rPr>
        <w:t>Program BETA</w:t>
      </w:r>
      <w:bookmarkEnd w:id="0"/>
    </w:p>
    <w:p w:rsidR="0084532E" w:rsidRPr="00594D8C" w:rsidRDefault="0084532E" w:rsidP="006A54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Z hlediska veřejného sektoru je nyní možné využít (končící) program BETA, v rámci kterého jsou podporovány projekty spadající do specifikovaných cílů v oblasti dopravy vycházející z koncepčních a strategických dokumentů MD. V současné době probíhají práce na následném programu TA ČR pro potřeby státní správy.</w:t>
      </w:r>
    </w:p>
    <w:p w:rsidR="0084532E" w:rsidRPr="00594D8C" w:rsidRDefault="0084532E" w:rsidP="00B95317">
      <w:pPr>
        <w:pStyle w:val="Nadpis4"/>
        <w:spacing w:before="240"/>
        <w:rPr>
          <w:color w:val="auto"/>
        </w:rPr>
      </w:pPr>
      <w:bookmarkStart w:id="1" w:name="_Toc396715519"/>
      <w:r w:rsidRPr="00594D8C">
        <w:rPr>
          <w:color w:val="auto"/>
        </w:rPr>
        <w:t>Program GAMA</w:t>
      </w:r>
      <w:bookmarkEnd w:id="1"/>
    </w:p>
    <w:p w:rsidR="0084532E" w:rsidRPr="00594D8C" w:rsidRDefault="0084532E" w:rsidP="006A54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Hlavním cílem programu je podpora ověření výsledků VaVaI z hlediska jejich praktického uplatnění a na přípravu jejich následné komercializace. Délka projektů je omezena na minimálně 6 měsíců a maximálně 36 měsíců. Jelikož není program oborově omezen, lze prostřednictvím výzev předkládat návrhy na podporu projektů zaměřených na oblast ITS, které např. byly realizovány či jsou v realizaci v rámci předchozích programů ALFA a BETA, účelem tohoto programu je výsledky těchto projektů posunout do inovační fáze a tím tak implicitně podpořit opatření AP ITS.</w:t>
      </w:r>
    </w:p>
    <w:p w:rsidR="0084532E" w:rsidRPr="00594D8C" w:rsidRDefault="0084532E" w:rsidP="00B95317">
      <w:pPr>
        <w:pStyle w:val="Nadpis4"/>
        <w:spacing w:before="240"/>
        <w:rPr>
          <w:color w:val="auto"/>
        </w:rPr>
      </w:pPr>
      <w:bookmarkStart w:id="2" w:name="_Toc396715520"/>
      <w:r w:rsidRPr="00594D8C">
        <w:rPr>
          <w:color w:val="auto"/>
        </w:rPr>
        <w:t>Program DELTA</w:t>
      </w:r>
      <w:bookmarkEnd w:id="2"/>
    </w:p>
    <w:p w:rsidR="0084532E" w:rsidRPr="00594D8C" w:rsidRDefault="0084532E" w:rsidP="006A54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Jedná se o program podpory spolupráce v aplikovaném výzkumu a experimentálním vývoji prostřednictvím společných projektů technologických a inovačních agentur. Program DELTA není stejně jako program GAMA specificky zaměřen na určitý obor, tudíž z něj mohou být podporovány projekty zaměřené na oblast ITS. Jeho cílem je podpora společných projektů českých podniků a výzkumných institucí se zahraničními technologickými a inovačními agenturami. Doba trvání programu se předpokládá v letech 2014 až 2019.</w:t>
      </w:r>
    </w:p>
    <w:p w:rsidR="0084532E" w:rsidRPr="00594D8C" w:rsidRDefault="0084532E" w:rsidP="00B95317">
      <w:pPr>
        <w:pStyle w:val="Nadpis4"/>
        <w:spacing w:before="240"/>
        <w:rPr>
          <w:color w:val="auto"/>
        </w:rPr>
      </w:pPr>
      <w:bookmarkStart w:id="3" w:name="_Toc396715521"/>
      <w:r w:rsidRPr="00594D8C">
        <w:rPr>
          <w:color w:val="auto"/>
        </w:rPr>
        <w:t>Program EPSILON</w:t>
      </w:r>
      <w:bookmarkEnd w:id="3"/>
    </w:p>
    <w:p w:rsidR="0084532E" w:rsidRPr="00594D8C" w:rsidRDefault="0084532E" w:rsidP="006A54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Hlavním cílem programu je podpora zejména průmyslových aplikací při využití nových technologií a nových materiálů v energetice, životním prostředí a dopravě, které zahrnují i ITS. Doba trvání programu se předpokládá v letech 2015 až 2025.</w:t>
      </w:r>
    </w:p>
    <w:p w:rsidR="0084532E" w:rsidRPr="00594D8C" w:rsidRDefault="0084532E" w:rsidP="00B95317">
      <w:pPr>
        <w:pStyle w:val="Nadpis4"/>
        <w:spacing w:before="240"/>
        <w:rPr>
          <w:color w:val="auto"/>
        </w:rPr>
      </w:pPr>
      <w:bookmarkStart w:id="4" w:name="_Toc396715522"/>
      <w:r w:rsidRPr="00594D8C">
        <w:rPr>
          <w:color w:val="auto"/>
        </w:rPr>
        <w:t>Program OMEGA</w:t>
      </w:r>
      <w:bookmarkEnd w:id="4"/>
    </w:p>
    <w:p w:rsidR="0084532E" w:rsidRPr="00594D8C" w:rsidRDefault="0084532E" w:rsidP="006A54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Program je zaměřen na podporu projektů v oblasti společenských věd. Z hlediska ITS je možné v programu řešit problematiku adaptace člověka na nové technologie. Doba trvání programu se předpokládá v letech 2012 až 2017.</w:t>
      </w:r>
    </w:p>
    <w:p w:rsidR="0084532E" w:rsidRPr="00594D8C" w:rsidRDefault="0084532E" w:rsidP="00B95317">
      <w:pPr>
        <w:pStyle w:val="Nadpis4"/>
        <w:spacing w:before="240"/>
        <w:rPr>
          <w:color w:val="auto"/>
        </w:rPr>
      </w:pPr>
      <w:bookmarkStart w:id="5" w:name="_Toc396715523"/>
      <w:r w:rsidRPr="00594D8C">
        <w:rPr>
          <w:color w:val="auto"/>
        </w:rPr>
        <w:t>Centra komp</w:t>
      </w:r>
      <w:bookmarkStart w:id="6" w:name="_GoBack"/>
      <w:bookmarkEnd w:id="6"/>
      <w:r w:rsidRPr="00594D8C">
        <w:rPr>
          <w:color w:val="auto"/>
        </w:rPr>
        <w:t>etence</w:t>
      </w:r>
      <w:bookmarkEnd w:id="5"/>
    </w:p>
    <w:p w:rsidR="0084532E" w:rsidRPr="00594D8C" w:rsidRDefault="0084532E" w:rsidP="006A54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 xml:space="preserve">Program Centra kompetence je zaměřen na podporu vzniku a činnosti center výzkumu, vývoje a inovací v progresivních oborech s vysokým aplikačním potenciálem a perspektivou pro značný přínos k růstu konkurenceschopnosti ČR. Vzniklá centra by měla vytvořit podmínky pro rozvoj dlouhodobé spolupráce ve výzkumu, vývoji a inovacích mezi veřejným a soukromým sektorem. V návaznosti na hlavní cíl programu, kterým je zvýšení konkurenceschopnosti ČR, program usiluje o stimulaci spolupráce podniků a výzkumných organizací k vytvoření strategických partnerství, posílení interdisciplinarity výzkumu, vývoje </w:t>
      </w:r>
      <w:r w:rsidRPr="00594D8C">
        <w:rPr>
          <w:rFonts w:ascii="Times New Roman" w:hAnsi="Times New Roman"/>
          <w:sz w:val="24"/>
          <w:szCs w:val="24"/>
        </w:rPr>
        <w:lastRenderedPageBreak/>
        <w:t>a inovací a zvýšení horizontální mobility výzkumných pracovníků (zejména začínajících výzkumníků). Důraz je kladen na skutečnou realizaci výsledků v praxi.</w:t>
      </w:r>
    </w:p>
    <w:p w:rsidR="0084532E" w:rsidRPr="00594D8C" w:rsidRDefault="0084532E" w:rsidP="00F54EB7">
      <w:pPr>
        <w:numPr>
          <w:ilvl w:val="0"/>
          <w:numId w:val="6"/>
        </w:numPr>
        <w:spacing w:before="240" w:after="120" w:line="240" w:lineRule="auto"/>
        <w:ind w:left="357" w:hanging="357"/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</w:pPr>
      <w:r w:rsidRPr="00594D8C"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  <w:t>Programy výzkumu, vývoje a inovací na mezinárodní úrovni</w:t>
      </w:r>
    </w:p>
    <w:p w:rsidR="0084532E" w:rsidRPr="00594D8C" w:rsidRDefault="0084532E" w:rsidP="00580648">
      <w:pPr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Mezinárodní spolupráci ve VVI realizuje MŠMT a MD ČR se pomocí účasti v mezinárodních programech zapojí do mezinárodní spolupráce v této oblasti. MŠMT podporuje mezinárodní spolupráci prostřednictvím účelové i institucionální podpory. Účelovou podporou jsou dotovány projekty přijaté do některého z pěti velkých programů mezinárodní spolupráce ve výzkumu a vývoji (H2020, Shift2rail, EUREKA, COST, INGO, EUPRO, KONTAKT), institucionální podporou jsou hrazeny poplatky za členství v některých mezinárodních organizacích a další výdaje podle § 4 odst. 5 zákona č. 130/2002 Sb., o podpoře výzkumu a vývoje z veřejných prostředků a o změně některých souvisejících zákonů (zákon o podpoře výzkumu a vývoje), ve znění pozdějších předpisů.</w:t>
      </w:r>
    </w:p>
    <w:p w:rsidR="0084532E" w:rsidRPr="00594D8C" w:rsidRDefault="0084532E" w:rsidP="00120875">
      <w:pPr>
        <w:pStyle w:val="Nadpis4"/>
        <w:spacing w:before="240" w:after="120"/>
        <w:rPr>
          <w:color w:val="auto"/>
        </w:rPr>
      </w:pPr>
      <w:r w:rsidRPr="00594D8C">
        <w:rPr>
          <w:color w:val="auto"/>
        </w:rPr>
        <w:t>Horizont 2020 (H2020)</w:t>
      </w:r>
    </w:p>
    <w:p w:rsidR="0084532E" w:rsidRPr="00594D8C" w:rsidRDefault="0084532E" w:rsidP="00242E19">
      <w:pPr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 xml:space="preserve">Horizont 2020 je novým evropským rámcovým program pro výzkum a vývoj a navazuje na 7. Rámcový Program EU (7. RP). H2020 na rozdíl od 7. RP podporuje při formulaci výzkumných témat tzv. přístup </w:t>
      </w:r>
      <w:proofErr w:type="spellStart"/>
      <w:r w:rsidRPr="00594D8C">
        <w:rPr>
          <w:rFonts w:ascii="Times New Roman" w:hAnsi="Times New Roman"/>
          <w:sz w:val="24"/>
          <w:szCs w:val="24"/>
        </w:rPr>
        <w:t>botom</w:t>
      </w:r>
      <w:proofErr w:type="spellEnd"/>
      <w:r w:rsidRPr="00594D8C">
        <w:rPr>
          <w:rFonts w:ascii="Times New Roman" w:hAnsi="Times New Roman"/>
          <w:sz w:val="24"/>
          <w:szCs w:val="24"/>
        </w:rPr>
        <w:t>-up (zdola-nahoru), přičemž témata jsou definována šířeji a kladou větší důraz na očekávaný dopad navrženého projektu. H2020 je navržen na období 2014-2020 a jeho celkový rozpočet činí 77 mld.</w:t>
      </w:r>
      <w:r w:rsidR="008B047C" w:rsidRPr="00594D8C">
        <w:rPr>
          <w:rFonts w:ascii="Times New Roman" w:hAnsi="Times New Roman"/>
          <w:sz w:val="24"/>
          <w:szCs w:val="24"/>
        </w:rPr>
        <w:t xml:space="preserve"> </w:t>
      </w:r>
      <w:r w:rsidRPr="00594D8C">
        <w:rPr>
          <w:rFonts w:ascii="Times New Roman" w:hAnsi="Times New Roman"/>
          <w:sz w:val="24"/>
          <w:szCs w:val="24"/>
        </w:rPr>
        <w:t xml:space="preserve">€. Pro finanční podporu projektů s dopravní tématikou je možné využít výzvy v oblasti „Inteligentní, ekologická a integrovaná doprava“. </w:t>
      </w:r>
    </w:p>
    <w:p w:rsidR="0084532E" w:rsidRPr="00594D8C" w:rsidRDefault="0084532E" w:rsidP="00120875">
      <w:pPr>
        <w:pStyle w:val="Nadpis4"/>
        <w:spacing w:before="240" w:after="120"/>
        <w:rPr>
          <w:color w:val="auto"/>
        </w:rPr>
      </w:pPr>
      <w:r w:rsidRPr="00594D8C">
        <w:rPr>
          <w:color w:val="auto"/>
        </w:rPr>
        <w:t>SHIFT2RAIL (S2R)</w:t>
      </w:r>
    </w:p>
    <w:p w:rsidR="0084532E" w:rsidRPr="00594D8C" w:rsidRDefault="0084532E" w:rsidP="003065B8">
      <w:pPr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 xml:space="preserve">Projekt byl schválen Nařízením Rady EU č. 642/2014 ze dne 16. </w:t>
      </w:r>
      <w:r w:rsidR="008B047C" w:rsidRPr="00594D8C">
        <w:rPr>
          <w:rFonts w:ascii="Times New Roman" w:hAnsi="Times New Roman"/>
          <w:sz w:val="24"/>
          <w:szCs w:val="24"/>
        </w:rPr>
        <w:t>č</w:t>
      </w:r>
      <w:r w:rsidRPr="00594D8C">
        <w:rPr>
          <w:rFonts w:ascii="Times New Roman" w:hAnsi="Times New Roman"/>
          <w:sz w:val="24"/>
          <w:szCs w:val="24"/>
        </w:rPr>
        <w:t xml:space="preserve">ervna 2014 o zřízení společného podniku Shift2Rail, který sdružuje jednotlivé subjekty železničního odvětví. </w:t>
      </w:r>
    </w:p>
    <w:p w:rsidR="0084532E" w:rsidRPr="00594D8C" w:rsidRDefault="0084532E" w:rsidP="003065B8">
      <w:pPr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Za klíčový cíl je považován nárůst mobility a zlepšení, zkvalitnění a zjednodušení služeb pro cestující i přepravce (přepravce = zákazník železničního dopravce v nákladní dopravě, tzn. odesílatel nebo příjemce přepravované věci).</w:t>
      </w:r>
    </w:p>
    <w:p w:rsidR="0084532E" w:rsidRPr="00594D8C" w:rsidRDefault="0084532E" w:rsidP="00120875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 xml:space="preserve">Cílem Shift2Rail je zajistit cíleným výzkumem, vývojem a inovacemi: </w:t>
      </w:r>
    </w:p>
    <w:p w:rsidR="0084532E" w:rsidRPr="00594D8C" w:rsidRDefault="0084532E" w:rsidP="004A6F7F">
      <w:pPr>
        <w:pStyle w:val="Seznambody"/>
        <w:spacing w:before="0" w:after="0"/>
        <w:ind w:left="896" w:hanging="357"/>
        <w:rPr>
          <w:rFonts w:ascii="Times New Roman" w:hAnsi="Times New Roman"/>
        </w:rPr>
      </w:pPr>
      <w:r w:rsidRPr="00594D8C">
        <w:rPr>
          <w:rFonts w:ascii="Times New Roman" w:hAnsi="Times New Roman"/>
        </w:rPr>
        <w:t xml:space="preserve">snížení nákladů v životním cyklu železniční dopravy (tj. nákladů na výstavbu, provoz, údržbu a obnovu infrastruktury a kolejových vozidel) až o 50%, </w:t>
      </w:r>
    </w:p>
    <w:p w:rsidR="0084532E" w:rsidRPr="00594D8C" w:rsidRDefault="0084532E" w:rsidP="004A6F7F">
      <w:pPr>
        <w:pStyle w:val="Seznambody"/>
        <w:spacing w:before="0" w:after="0"/>
        <w:ind w:left="896" w:hanging="357"/>
        <w:rPr>
          <w:rFonts w:ascii="Times New Roman" w:hAnsi="Times New Roman"/>
        </w:rPr>
      </w:pPr>
      <w:r w:rsidRPr="00594D8C">
        <w:rPr>
          <w:rFonts w:ascii="Times New Roman" w:hAnsi="Times New Roman"/>
        </w:rPr>
        <w:t xml:space="preserve">celkové zvýšení kapacity až o 100% a </w:t>
      </w:r>
    </w:p>
    <w:p w:rsidR="00E83AD9" w:rsidRPr="00594D8C" w:rsidRDefault="0084532E" w:rsidP="00120875">
      <w:pPr>
        <w:pStyle w:val="Seznambody"/>
        <w:spacing w:before="0" w:after="240"/>
        <w:ind w:left="896" w:hanging="357"/>
        <w:rPr>
          <w:rFonts w:ascii="Times New Roman" w:hAnsi="Times New Roman"/>
        </w:rPr>
      </w:pPr>
      <w:r w:rsidRPr="00594D8C">
        <w:rPr>
          <w:rFonts w:ascii="Times New Roman" w:hAnsi="Times New Roman"/>
        </w:rPr>
        <w:t>celkový nárůst spolehlivosti v různých segmentech železničního trhu až o 50%.</w:t>
      </w:r>
    </w:p>
    <w:p w:rsidR="0084532E" w:rsidRPr="00594D8C" w:rsidRDefault="0084532E" w:rsidP="00120875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Projekt je rozdělen do 6 inovačních programů, přičemž z hlediska vědy a výzkumu budou upřednostňovány následující oblasti:</w:t>
      </w:r>
    </w:p>
    <w:p w:rsidR="0084532E" w:rsidRPr="00594D8C" w:rsidRDefault="0084532E" w:rsidP="00F02D98">
      <w:pPr>
        <w:pStyle w:val="Seznambody"/>
        <w:spacing w:before="0" w:after="0"/>
        <w:ind w:left="896" w:hanging="357"/>
        <w:rPr>
          <w:rFonts w:ascii="Times New Roman" w:hAnsi="Times New Roman"/>
        </w:rPr>
      </w:pPr>
      <w:r w:rsidRPr="00594D8C">
        <w:rPr>
          <w:rFonts w:ascii="Times New Roman" w:hAnsi="Times New Roman"/>
        </w:rPr>
        <w:t>vývoj prototypů,</w:t>
      </w:r>
    </w:p>
    <w:p w:rsidR="0084532E" w:rsidRPr="00594D8C" w:rsidRDefault="0084532E" w:rsidP="004A6F7F">
      <w:pPr>
        <w:pStyle w:val="Seznambody"/>
        <w:spacing w:before="0" w:after="0"/>
        <w:ind w:left="896" w:hanging="357"/>
        <w:rPr>
          <w:rFonts w:ascii="Times New Roman" w:hAnsi="Times New Roman"/>
        </w:rPr>
      </w:pPr>
      <w:r w:rsidRPr="00594D8C">
        <w:rPr>
          <w:rFonts w:ascii="Times New Roman" w:hAnsi="Times New Roman"/>
        </w:rPr>
        <w:t>integrace,</w:t>
      </w:r>
    </w:p>
    <w:p w:rsidR="0084532E" w:rsidRPr="00594D8C" w:rsidRDefault="0084532E" w:rsidP="004A6F7F">
      <w:pPr>
        <w:pStyle w:val="Seznambody"/>
        <w:spacing w:before="0" w:after="0"/>
        <w:ind w:left="896" w:hanging="357"/>
        <w:rPr>
          <w:rFonts w:ascii="Times New Roman" w:hAnsi="Times New Roman"/>
        </w:rPr>
      </w:pPr>
      <w:r w:rsidRPr="00594D8C">
        <w:rPr>
          <w:rFonts w:ascii="Times New Roman" w:hAnsi="Times New Roman"/>
        </w:rPr>
        <w:t>virtuální validace (hodnocení),</w:t>
      </w:r>
    </w:p>
    <w:p w:rsidR="0084532E" w:rsidRPr="00594D8C" w:rsidRDefault="0084532E" w:rsidP="00E83AD9">
      <w:pPr>
        <w:pStyle w:val="Seznambody"/>
        <w:spacing w:before="0"/>
        <w:ind w:left="896" w:hanging="357"/>
        <w:rPr>
          <w:rFonts w:ascii="Times New Roman" w:hAnsi="Times New Roman"/>
        </w:rPr>
      </w:pPr>
      <w:r w:rsidRPr="00594D8C">
        <w:rPr>
          <w:rFonts w:ascii="Times New Roman" w:hAnsi="Times New Roman"/>
        </w:rPr>
        <w:t>implementace úspěšných technologií.</w:t>
      </w:r>
    </w:p>
    <w:p w:rsidR="0084532E" w:rsidRPr="00594D8C" w:rsidRDefault="0084532E" w:rsidP="00E83AD9">
      <w:pPr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Výzkumné aktivity Shift2Rail budou hrazeny z asi 50 % (</w:t>
      </w:r>
      <w:smartTag w:uri="urn:schemas-microsoft-com:office:smarttags" w:element="metricconverter">
        <w:smartTagPr>
          <w:attr w:name="ProductID" w:val="450 mil"/>
        </w:smartTagPr>
        <w:r w:rsidRPr="00594D8C">
          <w:rPr>
            <w:rFonts w:ascii="Times New Roman" w:hAnsi="Times New Roman"/>
            <w:sz w:val="24"/>
            <w:szCs w:val="24"/>
          </w:rPr>
          <w:t>450 mil</w:t>
        </w:r>
      </w:smartTag>
      <w:r w:rsidRPr="00594D8C">
        <w:rPr>
          <w:rFonts w:ascii="Times New Roman" w:hAnsi="Times New Roman"/>
          <w:sz w:val="24"/>
          <w:szCs w:val="24"/>
        </w:rPr>
        <w:t>. €) z programu HORIZON 2020 a z asi 50 % (</w:t>
      </w:r>
      <w:smartTag w:uri="urn:schemas-microsoft-com:office:smarttags" w:element="metricconverter">
        <w:smartTagPr>
          <w:attr w:name="ProductID" w:val="470 mil"/>
        </w:smartTagPr>
        <w:r w:rsidRPr="00594D8C">
          <w:rPr>
            <w:rFonts w:ascii="Times New Roman" w:hAnsi="Times New Roman"/>
            <w:sz w:val="24"/>
            <w:szCs w:val="24"/>
          </w:rPr>
          <w:t>470 mil</w:t>
        </w:r>
      </w:smartTag>
      <w:r w:rsidRPr="00594D8C">
        <w:rPr>
          <w:rFonts w:ascii="Times New Roman" w:hAnsi="Times New Roman"/>
          <w:sz w:val="24"/>
          <w:szCs w:val="24"/>
        </w:rPr>
        <w:t>. €) z finančních zdrojů železničního průmyslu.</w:t>
      </w:r>
    </w:p>
    <w:p w:rsidR="0084532E" w:rsidRPr="00594D8C" w:rsidRDefault="0084532E" w:rsidP="00120875">
      <w:pPr>
        <w:pStyle w:val="Nadpis4"/>
        <w:spacing w:before="240" w:after="120"/>
        <w:rPr>
          <w:color w:val="auto"/>
        </w:rPr>
      </w:pPr>
      <w:r w:rsidRPr="00594D8C">
        <w:rPr>
          <w:color w:val="auto"/>
        </w:rPr>
        <w:lastRenderedPageBreak/>
        <w:t>Programy v realizaci MŠMT</w:t>
      </w:r>
    </w:p>
    <w:p w:rsidR="009774C2" w:rsidRPr="00594D8C" w:rsidRDefault="0084532E" w:rsidP="00120875">
      <w:pPr>
        <w:pStyle w:val="Nadpis4"/>
        <w:rPr>
          <w:color w:val="auto"/>
        </w:rPr>
      </w:pPr>
      <w:r w:rsidRPr="00594D8C">
        <w:rPr>
          <w:color w:val="auto"/>
        </w:rPr>
        <w:t>EUREKA</w:t>
      </w:r>
    </w:p>
    <w:p w:rsidR="0084532E" w:rsidRPr="00594D8C" w:rsidRDefault="0084532E" w:rsidP="00242E19">
      <w:pPr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podporuje spolupráci akademického a průmyslového sektoru z různých členských států. Výběr projektů se provádí ve dvou stupních, mezinárodní kolo není spojeno s účelovou podporou, o tu je nutno žádat ve druhém stupni na národní úrovni.</w:t>
      </w:r>
    </w:p>
    <w:p w:rsidR="009774C2" w:rsidRPr="00594D8C" w:rsidRDefault="0084532E" w:rsidP="00120875">
      <w:pPr>
        <w:pStyle w:val="Nadpis4"/>
        <w:rPr>
          <w:color w:val="auto"/>
        </w:rPr>
      </w:pPr>
      <w:r w:rsidRPr="00594D8C">
        <w:rPr>
          <w:color w:val="auto"/>
        </w:rPr>
        <w:t>COST</w:t>
      </w:r>
    </w:p>
    <w:p w:rsidR="0084532E" w:rsidRPr="00594D8C" w:rsidRDefault="0084532E" w:rsidP="00242E19">
      <w:pPr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 xml:space="preserve">podporuje prostřednictvím tzv. akcí COST (v devíti doménách) ty směry výzkumu, na kterých se dohodnou výzkumné týmy z různých členských zemí (tzv. metoda á la </w:t>
      </w:r>
      <w:proofErr w:type="spellStart"/>
      <w:r w:rsidRPr="00594D8C">
        <w:rPr>
          <w:rFonts w:ascii="Times New Roman" w:hAnsi="Times New Roman"/>
          <w:sz w:val="24"/>
          <w:szCs w:val="24"/>
        </w:rPr>
        <w:t>carte</w:t>
      </w:r>
      <w:proofErr w:type="spellEnd"/>
      <w:r w:rsidRPr="00594D8C">
        <w:rPr>
          <w:rFonts w:ascii="Times New Roman" w:hAnsi="Times New Roman"/>
          <w:sz w:val="24"/>
          <w:szCs w:val="24"/>
        </w:rPr>
        <w:t>). Výběr projektů k finanční podpoře se provádí ve dvou stupních, mezinárodní kolo není spojeno s finanční dotací, o tu je nutno žádat ve druhém stupni na národní úrovni.</w:t>
      </w:r>
    </w:p>
    <w:p w:rsidR="009774C2" w:rsidRPr="00594D8C" w:rsidRDefault="0084532E" w:rsidP="00120875">
      <w:pPr>
        <w:pStyle w:val="Nadpis4"/>
        <w:rPr>
          <w:color w:val="auto"/>
        </w:rPr>
      </w:pPr>
      <w:r w:rsidRPr="00594D8C">
        <w:rPr>
          <w:color w:val="auto"/>
        </w:rPr>
        <w:t>INGO</w:t>
      </w:r>
    </w:p>
    <w:p w:rsidR="0084532E" w:rsidRPr="00594D8C" w:rsidRDefault="0084532E" w:rsidP="00242E19">
      <w:pPr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podporuje z národních veřejných prostředků mezinárodní spolupráci s nevládními organizacemi výzkumu. Projekty jsou podporovány výhradně z národních prostředků. Součástí uznaných nákladů jsou zpravidla výdaje na účast v dané nevládní mezinárodní organizaci výzkumu.</w:t>
      </w:r>
    </w:p>
    <w:p w:rsidR="009774C2" w:rsidRPr="00594D8C" w:rsidRDefault="0084532E" w:rsidP="00120875">
      <w:pPr>
        <w:pStyle w:val="Nadpis4"/>
        <w:rPr>
          <w:color w:val="auto"/>
        </w:rPr>
      </w:pPr>
      <w:r w:rsidRPr="00594D8C">
        <w:rPr>
          <w:color w:val="auto"/>
        </w:rPr>
        <w:t>EUPRO</w:t>
      </w:r>
    </w:p>
    <w:p w:rsidR="0084532E" w:rsidRPr="00594D8C" w:rsidRDefault="0084532E" w:rsidP="00242E19">
      <w:pPr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podporuje z národních zdrojů účast českých institucí na koordinaci evropského výzkumu, a to zejména podporou specifické informační sítě kontaktních bodů.</w:t>
      </w:r>
    </w:p>
    <w:p w:rsidR="009774C2" w:rsidRPr="00594D8C" w:rsidRDefault="0084532E" w:rsidP="00120875">
      <w:pPr>
        <w:pStyle w:val="Nadpis4"/>
        <w:rPr>
          <w:color w:val="auto"/>
        </w:rPr>
      </w:pPr>
      <w:r w:rsidRPr="00594D8C">
        <w:rPr>
          <w:color w:val="auto"/>
        </w:rPr>
        <w:t>KONTAKT</w:t>
      </w:r>
    </w:p>
    <w:p w:rsidR="00F77FA4" w:rsidRPr="00594D8C" w:rsidRDefault="0084532E" w:rsidP="00F77FA4">
      <w:pPr>
        <w:jc w:val="both"/>
        <w:rPr>
          <w:rFonts w:ascii="Times New Roman" w:hAnsi="Times New Roman"/>
          <w:sz w:val="24"/>
          <w:szCs w:val="24"/>
        </w:rPr>
      </w:pPr>
      <w:r w:rsidRPr="00594D8C">
        <w:rPr>
          <w:rFonts w:ascii="Times New Roman" w:hAnsi="Times New Roman"/>
          <w:sz w:val="24"/>
          <w:szCs w:val="24"/>
        </w:rPr>
        <w:t>program původně určený pro účelovou podporu dvoustranných spoluprací a mezinárodní spolupráce v rámci NSF, SEI, NATO. Účelová podpora zahrnuje nejen výdaje na programy mezinárodní spolupráce COST, KONTAKT, EUPRO, INGO a EUREKA, ale - do roku 2008 včetně - také výdaje na mezinárodní spolupráci v rámci Národního programu</w:t>
      </w:r>
      <w:r w:rsidR="00F77FA4" w:rsidRPr="00594D8C">
        <w:rPr>
          <w:rFonts w:ascii="Times New Roman" w:hAnsi="Times New Roman"/>
          <w:sz w:val="24"/>
          <w:szCs w:val="24"/>
        </w:rPr>
        <w:t xml:space="preserve"> výzkumu I.</w:t>
      </w:r>
    </w:p>
    <w:p w:rsidR="0084532E" w:rsidRPr="00594D8C" w:rsidRDefault="0084532E" w:rsidP="00120875">
      <w:pPr>
        <w:pStyle w:val="Nadpis4"/>
        <w:spacing w:before="240" w:after="120"/>
        <w:rPr>
          <w:color w:val="auto"/>
        </w:rPr>
      </w:pPr>
      <w:r w:rsidRPr="00594D8C">
        <w:rPr>
          <w:color w:val="auto"/>
        </w:rPr>
        <w:t xml:space="preserve">Programy ESA </w:t>
      </w:r>
    </w:p>
    <w:p w:rsidR="0084532E" w:rsidRPr="00594D8C" w:rsidRDefault="0084532E" w:rsidP="00120875">
      <w:pPr>
        <w:pStyle w:val="Nadpis4"/>
        <w:rPr>
          <w:color w:val="auto"/>
        </w:rPr>
      </w:pPr>
      <w:r w:rsidRPr="00594D8C">
        <w:rPr>
          <w:color w:val="auto"/>
        </w:rPr>
        <w:t>ARTES 20</w:t>
      </w:r>
    </w:p>
    <w:p w:rsidR="0084532E" w:rsidRPr="00594D8C" w:rsidRDefault="0084532E" w:rsidP="00013271">
      <w:pPr>
        <w:pStyle w:val="MDSR"/>
        <w:spacing w:before="60"/>
        <w:ind w:firstLine="0"/>
        <w:rPr>
          <w:lang w:eastAsia="en-US"/>
        </w:rPr>
      </w:pPr>
      <w:r w:rsidRPr="00594D8C">
        <w:rPr>
          <w:lang w:eastAsia="en-US"/>
        </w:rPr>
        <w:t>Element ARTES 20 je zaměřen na vývoj, implementaci a pilotní provoz integrovaných aplikací. Integrované aplikace využívají prvky, technologie, výstupy a produkty minimálně dvou za tří těchto oblastí: pozorování Země, družicové telekomunikace anebo družicové navigace.</w:t>
      </w:r>
    </w:p>
    <w:p w:rsidR="0084532E" w:rsidRPr="00594D8C" w:rsidRDefault="0084532E" w:rsidP="00013271">
      <w:pPr>
        <w:pStyle w:val="MDSR"/>
        <w:spacing w:before="60"/>
        <w:ind w:firstLine="0"/>
        <w:rPr>
          <w:lang w:eastAsia="en-US"/>
        </w:rPr>
      </w:pPr>
      <w:r w:rsidRPr="00594D8C">
        <w:rPr>
          <w:lang w:eastAsia="en-US"/>
        </w:rPr>
        <w:t>V současné době existuje české zapojení do projektu zaměřeného na demonstraci řídicího systému na lokálních tratích. Integrované aplikace mohou najít uplatnění v různých oblastech národního hospodářství, například ve zdravotnictví, energetice, životního prostředí, dopravě, anebo bezpečnosti.</w:t>
      </w:r>
    </w:p>
    <w:p w:rsidR="0084532E" w:rsidRPr="00594D8C" w:rsidRDefault="0084532E" w:rsidP="00120875">
      <w:pPr>
        <w:pStyle w:val="Nadpis4"/>
        <w:rPr>
          <w:color w:val="auto"/>
        </w:rPr>
      </w:pPr>
      <w:r w:rsidRPr="00594D8C">
        <w:rPr>
          <w:color w:val="auto"/>
        </w:rPr>
        <w:t>EOEP-4</w:t>
      </w:r>
    </w:p>
    <w:p w:rsidR="0084532E" w:rsidRPr="00594D8C" w:rsidRDefault="0084532E" w:rsidP="000132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94D8C">
        <w:rPr>
          <w:rFonts w:ascii="Times New Roman" w:hAnsi="Times New Roman"/>
          <w:sz w:val="24"/>
          <w:szCs w:val="24"/>
        </w:rPr>
        <w:t>Value</w:t>
      </w:r>
      <w:proofErr w:type="spellEnd"/>
      <w:r w:rsidRPr="00594D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D8C">
        <w:rPr>
          <w:rFonts w:ascii="Times New Roman" w:hAnsi="Times New Roman"/>
          <w:sz w:val="24"/>
          <w:szCs w:val="24"/>
        </w:rPr>
        <w:t>Added</w:t>
      </w:r>
      <w:proofErr w:type="spellEnd"/>
      <w:r w:rsidRPr="00594D8C">
        <w:rPr>
          <w:rFonts w:ascii="Times New Roman" w:hAnsi="Times New Roman"/>
          <w:sz w:val="24"/>
          <w:szCs w:val="24"/>
        </w:rPr>
        <w:t xml:space="preserve"> Element (VAE) v Rámcovém programu pro pozorování Země je zaměřen na vývoj posílení konkurenceschopnosti evropského sektoru služeb v oblasti pozorování Země. V rámci elementu mohou být rozvíjeny i aplik</w:t>
      </w:r>
      <w:r w:rsidR="008543CB" w:rsidRPr="00594D8C">
        <w:rPr>
          <w:rFonts w:ascii="Times New Roman" w:hAnsi="Times New Roman"/>
          <w:sz w:val="24"/>
          <w:szCs w:val="24"/>
        </w:rPr>
        <w:t>ace směřující do oblasti dopravy.</w:t>
      </w:r>
    </w:p>
    <w:sectPr w:rsidR="0084532E" w:rsidRPr="00594D8C" w:rsidSect="0061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C1861"/>
    <w:multiLevelType w:val="hybridMultilevel"/>
    <w:tmpl w:val="F0AA6546"/>
    <w:lvl w:ilvl="0" w:tplc="47FABE0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AF5176D"/>
    <w:multiLevelType w:val="hybridMultilevel"/>
    <w:tmpl w:val="170449B6"/>
    <w:lvl w:ilvl="0" w:tplc="366C51B6">
      <w:start w:val="1"/>
      <w:numFmt w:val="bullet"/>
      <w:pStyle w:val="Seznambody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D0410BC"/>
    <w:multiLevelType w:val="multilevel"/>
    <w:tmpl w:val="EAE4B8F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142F713B"/>
    <w:multiLevelType w:val="multilevel"/>
    <w:tmpl w:val="F56487E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C726AFD"/>
    <w:multiLevelType w:val="multilevel"/>
    <w:tmpl w:val="B11870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1F8B5E5F"/>
    <w:multiLevelType w:val="hybridMultilevel"/>
    <w:tmpl w:val="224C25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6293903"/>
    <w:multiLevelType w:val="hybridMultilevel"/>
    <w:tmpl w:val="224C25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5A9D103B"/>
    <w:multiLevelType w:val="hybridMultilevel"/>
    <w:tmpl w:val="3CE80CA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62C56BA2"/>
    <w:multiLevelType w:val="multilevel"/>
    <w:tmpl w:val="F73A20C4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E811145"/>
    <w:multiLevelType w:val="hybridMultilevel"/>
    <w:tmpl w:val="3CE80CA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71FB78BD"/>
    <w:multiLevelType w:val="hybridMultilevel"/>
    <w:tmpl w:val="96304F9A"/>
    <w:lvl w:ilvl="0" w:tplc="D870D4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10"/>
  </w:num>
  <w:num w:numId="8">
    <w:abstractNumId w:val="2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7"/>
  </w:num>
  <w:num w:numId="15">
    <w:abstractNumId w:val="9"/>
  </w:num>
  <w:num w:numId="16">
    <w:abstractNumId w:val="3"/>
  </w:num>
  <w:num w:numId="17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170" w:hanging="17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BC"/>
    <w:rsid w:val="00012AE8"/>
    <w:rsid w:val="00013271"/>
    <w:rsid w:val="00016244"/>
    <w:rsid w:val="00023F40"/>
    <w:rsid w:val="000240BA"/>
    <w:rsid w:val="00051B7A"/>
    <w:rsid w:val="000539EB"/>
    <w:rsid w:val="00064B58"/>
    <w:rsid w:val="0006699D"/>
    <w:rsid w:val="00076C6D"/>
    <w:rsid w:val="000800E7"/>
    <w:rsid w:val="0008122A"/>
    <w:rsid w:val="000833B3"/>
    <w:rsid w:val="0008638A"/>
    <w:rsid w:val="000A6CA0"/>
    <w:rsid w:val="000D6DCE"/>
    <w:rsid w:val="000E3916"/>
    <w:rsid w:val="000E6610"/>
    <w:rsid w:val="000F4E98"/>
    <w:rsid w:val="000F679A"/>
    <w:rsid w:val="000F7DD4"/>
    <w:rsid w:val="00103495"/>
    <w:rsid w:val="00112E47"/>
    <w:rsid w:val="001156C8"/>
    <w:rsid w:val="00120875"/>
    <w:rsid w:val="0012668E"/>
    <w:rsid w:val="00131088"/>
    <w:rsid w:val="0013316C"/>
    <w:rsid w:val="00133831"/>
    <w:rsid w:val="00134698"/>
    <w:rsid w:val="0013602C"/>
    <w:rsid w:val="00136695"/>
    <w:rsid w:val="00140C25"/>
    <w:rsid w:val="00145FF4"/>
    <w:rsid w:val="001509EE"/>
    <w:rsid w:val="001710C6"/>
    <w:rsid w:val="001733D6"/>
    <w:rsid w:val="001873D6"/>
    <w:rsid w:val="001B7095"/>
    <w:rsid w:val="001C01F0"/>
    <w:rsid w:val="001C4917"/>
    <w:rsid w:val="001C50C3"/>
    <w:rsid w:val="001C5381"/>
    <w:rsid w:val="001C6BF8"/>
    <w:rsid w:val="001D51BE"/>
    <w:rsid w:val="001E013F"/>
    <w:rsid w:val="001F099D"/>
    <w:rsid w:val="001F703D"/>
    <w:rsid w:val="00207154"/>
    <w:rsid w:val="00231F4E"/>
    <w:rsid w:val="00242E19"/>
    <w:rsid w:val="00243A5C"/>
    <w:rsid w:val="0025407F"/>
    <w:rsid w:val="002604F6"/>
    <w:rsid w:val="002626D0"/>
    <w:rsid w:val="00263E52"/>
    <w:rsid w:val="0026608F"/>
    <w:rsid w:val="002700EA"/>
    <w:rsid w:val="00277AE7"/>
    <w:rsid w:val="002841CA"/>
    <w:rsid w:val="002A2AE5"/>
    <w:rsid w:val="002B44CF"/>
    <w:rsid w:val="002C29CC"/>
    <w:rsid w:val="002D0F27"/>
    <w:rsid w:val="002D3AAD"/>
    <w:rsid w:val="002D651E"/>
    <w:rsid w:val="002D6AAD"/>
    <w:rsid w:val="002E3287"/>
    <w:rsid w:val="002F0CD9"/>
    <w:rsid w:val="003065B8"/>
    <w:rsid w:val="003178D2"/>
    <w:rsid w:val="00326648"/>
    <w:rsid w:val="00332E61"/>
    <w:rsid w:val="00334750"/>
    <w:rsid w:val="0035325D"/>
    <w:rsid w:val="00353AF6"/>
    <w:rsid w:val="003749D6"/>
    <w:rsid w:val="00383F07"/>
    <w:rsid w:val="00393C5C"/>
    <w:rsid w:val="003A1F66"/>
    <w:rsid w:val="003B1BED"/>
    <w:rsid w:val="003B4306"/>
    <w:rsid w:val="003D1753"/>
    <w:rsid w:val="003E77BE"/>
    <w:rsid w:val="003F05A5"/>
    <w:rsid w:val="00401ACC"/>
    <w:rsid w:val="00427D05"/>
    <w:rsid w:val="00431E86"/>
    <w:rsid w:val="00434AF3"/>
    <w:rsid w:val="004543EC"/>
    <w:rsid w:val="00472473"/>
    <w:rsid w:val="0047282E"/>
    <w:rsid w:val="00475458"/>
    <w:rsid w:val="00490041"/>
    <w:rsid w:val="004A6F7F"/>
    <w:rsid w:val="004B762C"/>
    <w:rsid w:val="004D358D"/>
    <w:rsid w:val="004D4F6E"/>
    <w:rsid w:val="004F1688"/>
    <w:rsid w:val="004F412F"/>
    <w:rsid w:val="004F7132"/>
    <w:rsid w:val="00502838"/>
    <w:rsid w:val="00536E98"/>
    <w:rsid w:val="0054094E"/>
    <w:rsid w:val="0054675E"/>
    <w:rsid w:val="00580648"/>
    <w:rsid w:val="00580722"/>
    <w:rsid w:val="005919A9"/>
    <w:rsid w:val="00594D8C"/>
    <w:rsid w:val="005962D0"/>
    <w:rsid w:val="005A3A3D"/>
    <w:rsid w:val="005A77F4"/>
    <w:rsid w:val="005B6561"/>
    <w:rsid w:val="005E290B"/>
    <w:rsid w:val="005E3A51"/>
    <w:rsid w:val="005F4D3C"/>
    <w:rsid w:val="005F66A7"/>
    <w:rsid w:val="006024C1"/>
    <w:rsid w:val="00604C1E"/>
    <w:rsid w:val="0061283F"/>
    <w:rsid w:val="00613C07"/>
    <w:rsid w:val="00627F3E"/>
    <w:rsid w:val="00636AC9"/>
    <w:rsid w:val="00644DD2"/>
    <w:rsid w:val="00663703"/>
    <w:rsid w:val="00666CD6"/>
    <w:rsid w:val="00677D5B"/>
    <w:rsid w:val="006828F6"/>
    <w:rsid w:val="00685C8B"/>
    <w:rsid w:val="006875DA"/>
    <w:rsid w:val="00690D9D"/>
    <w:rsid w:val="0069507C"/>
    <w:rsid w:val="006A1015"/>
    <w:rsid w:val="006A2AA1"/>
    <w:rsid w:val="006A2F34"/>
    <w:rsid w:val="006A54BC"/>
    <w:rsid w:val="006C047A"/>
    <w:rsid w:val="006C7772"/>
    <w:rsid w:val="006D4B7C"/>
    <w:rsid w:val="006D4F7D"/>
    <w:rsid w:val="006D5FE3"/>
    <w:rsid w:val="006F224B"/>
    <w:rsid w:val="007032BE"/>
    <w:rsid w:val="00704A98"/>
    <w:rsid w:val="00716584"/>
    <w:rsid w:val="00724D6E"/>
    <w:rsid w:val="007270CC"/>
    <w:rsid w:val="007369D6"/>
    <w:rsid w:val="00736A02"/>
    <w:rsid w:val="007438CB"/>
    <w:rsid w:val="00750AB2"/>
    <w:rsid w:val="0075241C"/>
    <w:rsid w:val="0076083C"/>
    <w:rsid w:val="00762A87"/>
    <w:rsid w:val="00767D56"/>
    <w:rsid w:val="007858B3"/>
    <w:rsid w:val="00785CB6"/>
    <w:rsid w:val="0078674B"/>
    <w:rsid w:val="00792E57"/>
    <w:rsid w:val="007A01C9"/>
    <w:rsid w:val="007A6AE6"/>
    <w:rsid w:val="007B1787"/>
    <w:rsid w:val="007B373E"/>
    <w:rsid w:val="007B5D8C"/>
    <w:rsid w:val="007D6AB1"/>
    <w:rsid w:val="007F69C6"/>
    <w:rsid w:val="00803236"/>
    <w:rsid w:val="00803DC2"/>
    <w:rsid w:val="00812AFF"/>
    <w:rsid w:val="00822198"/>
    <w:rsid w:val="00826613"/>
    <w:rsid w:val="00832B94"/>
    <w:rsid w:val="00836E27"/>
    <w:rsid w:val="00840996"/>
    <w:rsid w:val="00840E99"/>
    <w:rsid w:val="00843F40"/>
    <w:rsid w:val="0084532E"/>
    <w:rsid w:val="00853B03"/>
    <w:rsid w:val="008543CB"/>
    <w:rsid w:val="00862707"/>
    <w:rsid w:val="00880408"/>
    <w:rsid w:val="00886BC2"/>
    <w:rsid w:val="00887D90"/>
    <w:rsid w:val="00894BC4"/>
    <w:rsid w:val="00896A77"/>
    <w:rsid w:val="008A340B"/>
    <w:rsid w:val="008B047C"/>
    <w:rsid w:val="008C05FD"/>
    <w:rsid w:val="008C781A"/>
    <w:rsid w:val="008E0E63"/>
    <w:rsid w:val="008E1AD2"/>
    <w:rsid w:val="008E6F35"/>
    <w:rsid w:val="008F0749"/>
    <w:rsid w:val="008F4E5D"/>
    <w:rsid w:val="0090316B"/>
    <w:rsid w:val="00904394"/>
    <w:rsid w:val="00917A18"/>
    <w:rsid w:val="009427ED"/>
    <w:rsid w:val="00945771"/>
    <w:rsid w:val="00950B06"/>
    <w:rsid w:val="00952996"/>
    <w:rsid w:val="00964050"/>
    <w:rsid w:val="009774C2"/>
    <w:rsid w:val="00992CAB"/>
    <w:rsid w:val="009933A5"/>
    <w:rsid w:val="0099478C"/>
    <w:rsid w:val="009967D3"/>
    <w:rsid w:val="009972E1"/>
    <w:rsid w:val="009A501E"/>
    <w:rsid w:val="009A6EB0"/>
    <w:rsid w:val="009C095F"/>
    <w:rsid w:val="009C1AA7"/>
    <w:rsid w:val="009C56CC"/>
    <w:rsid w:val="009D60AA"/>
    <w:rsid w:val="009E481E"/>
    <w:rsid w:val="009F3387"/>
    <w:rsid w:val="009F3B86"/>
    <w:rsid w:val="00A02FD1"/>
    <w:rsid w:val="00A133DF"/>
    <w:rsid w:val="00A27EED"/>
    <w:rsid w:val="00A34143"/>
    <w:rsid w:val="00A4413F"/>
    <w:rsid w:val="00A46D9D"/>
    <w:rsid w:val="00A47E68"/>
    <w:rsid w:val="00A51EDA"/>
    <w:rsid w:val="00A53317"/>
    <w:rsid w:val="00A71987"/>
    <w:rsid w:val="00A85365"/>
    <w:rsid w:val="00AA6017"/>
    <w:rsid w:val="00AA76A6"/>
    <w:rsid w:val="00AB3F71"/>
    <w:rsid w:val="00AB6C7F"/>
    <w:rsid w:val="00AC0130"/>
    <w:rsid w:val="00AD538E"/>
    <w:rsid w:val="00AE6C17"/>
    <w:rsid w:val="00AF1F04"/>
    <w:rsid w:val="00B04BD2"/>
    <w:rsid w:val="00B1523A"/>
    <w:rsid w:val="00B26E4F"/>
    <w:rsid w:val="00B277F4"/>
    <w:rsid w:val="00B30D3A"/>
    <w:rsid w:val="00B32474"/>
    <w:rsid w:val="00B41E95"/>
    <w:rsid w:val="00B50AFA"/>
    <w:rsid w:val="00B72FA6"/>
    <w:rsid w:val="00B741EB"/>
    <w:rsid w:val="00B753F7"/>
    <w:rsid w:val="00B8445D"/>
    <w:rsid w:val="00B91B45"/>
    <w:rsid w:val="00B95317"/>
    <w:rsid w:val="00BC2C7E"/>
    <w:rsid w:val="00BD0A0A"/>
    <w:rsid w:val="00BD1D21"/>
    <w:rsid w:val="00BE36D4"/>
    <w:rsid w:val="00BF4009"/>
    <w:rsid w:val="00BF7EC5"/>
    <w:rsid w:val="00C067D6"/>
    <w:rsid w:val="00C21ABB"/>
    <w:rsid w:val="00C26AC2"/>
    <w:rsid w:val="00C3020F"/>
    <w:rsid w:val="00C368E3"/>
    <w:rsid w:val="00C41CF0"/>
    <w:rsid w:val="00C505E4"/>
    <w:rsid w:val="00C52710"/>
    <w:rsid w:val="00C70A16"/>
    <w:rsid w:val="00C9366A"/>
    <w:rsid w:val="00CB4FD3"/>
    <w:rsid w:val="00CB6E02"/>
    <w:rsid w:val="00CB7666"/>
    <w:rsid w:val="00CC4905"/>
    <w:rsid w:val="00CE4AB6"/>
    <w:rsid w:val="00CF197A"/>
    <w:rsid w:val="00CF3CB8"/>
    <w:rsid w:val="00D066DC"/>
    <w:rsid w:val="00D212BF"/>
    <w:rsid w:val="00D247C2"/>
    <w:rsid w:val="00D30FA2"/>
    <w:rsid w:val="00D37E3C"/>
    <w:rsid w:val="00D41E5E"/>
    <w:rsid w:val="00D5569F"/>
    <w:rsid w:val="00D672C7"/>
    <w:rsid w:val="00D80EFE"/>
    <w:rsid w:val="00D84F65"/>
    <w:rsid w:val="00D9481E"/>
    <w:rsid w:val="00DA7DEB"/>
    <w:rsid w:val="00DC6886"/>
    <w:rsid w:val="00DC6D6F"/>
    <w:rsid w:val="00DD035A"/>
    <w:rsid w:val="00DD3849"/>
    <w:rsid w:val="00DD7546"/>
    <w:rsid w:val="00DE08E7"/>
    <w:rsid w:val="00DE4C14"/>
    <w:rsid w:val="00E00601"/>
    <w:rsid w:val="00E041F0"/>
    <w:rsid w:val="00E10B47"/>
    <w:rsid w:val="00E14603"/>
    <w:rsid w:val="00E14DB0"/>
    <w:rsid w:val="00E30CEF"/>
    <w:rsid w:val="00E41A44"/>
    <w:rsid w:val="00E4306A"/>
    <w:rsid w:val="00E573CC"/>
    <w:rsid w:val="00E643E7"/>
    <w:rsid w:val="00E674DC"/>
    <w:rsid w:val="00E83AD9"/>
    <w:rsid w:val="00E92ED2"/>
    <w:rsid w:val="00E96480"/>
    <w:rsid w:val="00EA53F4"/>
    <w:rsid w:val="00EB07F2"/>
    <w:rsid w:val="00EB19C3"/>
    <w:rsid w:val="00ED33C9"/>
    <w:rsid w:val="00ED3A1B"/>
    <w:rsid w:val="00ED3BC5"/>
    <w:rsid w:val="00ED7113"/>
    <w:rsid w:val="00EE5D2A"/>
    <w:rsid w:val="00F00610"/>
    <w:rsid w:val="00F00DCB"/>
    <w:rsid w:val="00F02D98"/>
    <w:rsid w:val="00F132DD"/>
    <w:rsid w:val="00F13701"/>
    <w:rsid w:val="00F14735"/>
    <w:rsid w:val="00F30394"/>
    <w:rsid w:val="00F30DAE"/>
    <w:rsid w:val="00F4381C"/>
    <w:rsid w:val="00F51735"/>
    <w:rsid w:val="00F54EB7"/>
    <w:rsid w:val="00F660C7"/>
    <w:rsid w:val="00F66F68"/>
    <w:rsid w:val="00F77FA4"/>
    <w:rsid w:val="00F81334"/>
    <w:rsid w:val="00F91E05"/>
    <w:rsid w:val="00F97244"/>
    <w:rsid w:val="00FA4361"/>
    <w:rsid w:val="00FA464E"/>
    <w:rsid w:val="00FA5145"/>
    <w:rsid w:val="00FA61A4"/>
    <w:rsid w:val="00FB188B"/>
    <w:rsid w:val="00FB4304"/>
    <w:rsid w:val="00FB79E8"/>
    <w:rsid w:val="00FC1DD9"/>
    <w:rsid w:val="00FC349B"/>
    <w:rsid w:val="00FD2877"/>
    <w:rsid w:val="00FE76EB"/>
    <w:rsid w:val="00FF0362"/>
    <w:rsid w:val="00FF0CF6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5D7AD32-B673-4122-9FDF-DCBBBAF7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C07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6A54BC"/>
    <w:pPr>
      <w:keepNext/>
      <w:spacing w:before="480" w:after="240" w:line="240" w:lineRule="auto"/>
      <w:jc w:val="both"/>
      <w:outlineLvl w:val="0"/>
    </w:pPr>
    <w:rPr>
      <w:rFonts w:ascii="Arial" w:eastAsia="Times New Roman" w:hAnsi="Arial" w:cs="Arial"/>
      <w:b/>
      <w:bCs/>
      <w:color w:val="000080"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B7095"/>
    <w:pPr>
      <w:keepNext/>
      <w:numPr>
        <w:ilvl w:val="1"/>
        <w:numId w:val="16"/>
      </w:numPr>
      <w:spacing w:before="480" w:after="240" w:line="240" w:lineRule="auto"/>
      <w:jc w:val="both"/>
      <w:outlineLvl w:val="1"/>
    </w:pPr>
    <w:rPr>
      <w:rFonts w:ascii="Arial" w:eastAsia="Times New Roman" w:hAnsi="Arial" w:cs="Arial"/>
      <w:b/>
      <w:bCs/>
      <w:iCs/>
      <w:szCs w:val="28"/>
      <w:lang w:eastAsia="cs-CZ"/>
    </w:rPr>
  </w:style>
  <w:style w:type="paragraph" w:styleId="Nadpis3">
    <w:name w:val="heading 3"/>
    <w:aliases w:val="Heading 3 Char Char"/>
    <w:basedOn w:val="Normln"/>
    <w:next w:val="Normln"/>
    <w:link w:val="Nadpis3Char"/>
    <w:uiPriority w:val="99"/>
    <w:qFormat/>
    <w:rsid w:val="006A54BC"/>
    <w:pPr>
      <w:keepNext/>
      <w:spacing w:before="120" w:after="60" w:line="240" w:lineRule="auto"/>
      <w:jc w:val="both"/>
      <w:outlineLvl w:val="2"/>
    </w:pPr>
    <w:rPr>
      <w:rFonts w:ascii="Tahoma" w:eastAsia="Times New Roman" w:hAnsi="Tahoma"/>
      <w:b/>
      <w:bCs/>
      <w:color w:val="000080"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6A54BC"/>
    <w:pPr>
      <w:keepNext/>
      <w:spacing w:before="120" w:after="0" w:line="240" w:lineRule="auto"/>
      <w:jc w:val="both"/>
      <w:outlineLvl w:val="3"/>
    </w:pPr>
    <w:rPr>
      <w:rFonts w:ascii="Times New Roman" w:eastAsia="Times New Roman" w:hAnsi="Times New Roman"/>
      <w:b/>
      <w:iCs/>
      <w:color w:val="000080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6A54BC"/>
    <w:pPr>
      <w:spacing w:before="240" w:after="60" w:line="240" w:lineRule="auto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6A54BC"/>
    <w:pPr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6A54BC"/>
    <w:pPr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6A54BC"/>
    <w:pPr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6A54BC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A54BC"/>
    <w:rPr>
      <w:rFonts w:ascii="Arial" w:hAnsi="Arial" w:cs="Arial"/>
      <w:b/>
      <w:bCs/>
      <w:color w:val="000080"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9"/>
    <w:locked/>
    <w:rsid w:val="001B7095"/>
    <w:rPr>
      <w:rFonts w:ascii="Arial" w:eastAsia="Times New Roman" w:hAnsi="Arial" w:cs="Arial"/>
      <w:b/>
      <w:bCs/>
      <w:iCs/>
      <w:sz w:val="22"/>
      <w:szCs w:val="28"/>
    </w:rPr>
  </w:style>
  <w:style w:type="character" w:customStyle="1" w:styleId="Nadpis3Char">
    <w:name w:val="Nadpis 3 Char"/>
    <w:aliases w:val="Heading 3 Char Char Char"/>
    <w:link w:val="Nadpis3"/>
    <w:uiPriority w:val="99"/>
    <w:locked/>
    <w:rsid w:val="006A54BC"/>
    <w:rPr>
      <w:rFonts w:ascii="Tahoma" w:hAnsi="Tahoma" w:cs="Times New Roman"/>
      <w:b/>
      <w:bCs/>
      <w:color w:val="000080"/>
      <w:sz w:val="26"/>
      <w:szCs w:val="26"/>
      <w:lang w:val="cs-CZ" w:eastAsia="cs-CZ" w:bidi="ar-SA"/>
    </w:rPr>
  </w:style>
  <w:style w:type="character" w:customStyle="1" w:styleId="Nadpis4Char">
    <w:name w:val="Nadpis 4 Char"/>
    <w:link w:val="Nadpis4"/>
    <w:uiPriority w:val="99"/>
    <w:locked/>
    <w:rsid w:val="006A54BC"/>
    <w:rPr>
      <w:rFonts w:eastAsia="Times New Roman" w:cs="Times New Roman"/>
      <w:b/>
      <w:iCs/>
      <w:color w:val="000080"/>
      <w:sz w:val="24"/>
      <w:szCs w:val="24"/>
      <w:lang w:val="cs-CZ" w:eastAsia="cs-CZ" w:bidi="ar-SA"/>
    </w:rPr>
  </w:style>
  <w:style w:type="character" w:customStyle="1" w:styleId="Nadpis5Char">
    <w:name w:val="Nadpis 5 Char"/>
    <w:link w:val="Nadpis5"/>
    <w:uiPriority w:val="99"/>
    <w:locked/>
    <w:rsid w:val="006A54BC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uiPriority w:val="99"/>
    <w:locked/>
    <w:rsid w:val="006A54BC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9"/>
    <w:locked/>
    <w:rsid w:val="006A54BC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6A54BC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6A54BC"/>
    <w:rPr>
      <w:rFonts w:ascii="Arial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806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B188B"/>
    <w:rPr>
      <w:rFonts w:ascii="Times New Roman" w:hAnsi="Times New Roman" w:cs="Times New Roman"/>
      <w:sz w:val="2"/>
      <w:lang w:eastAsia="en-US"/>
    </w:rPr>
  </w:style>
  <w:style w:type="character" w:styleId="Odkaznakoment">
    <w:name w:val="annotation reference"/>
    <w:uiPriority w:val="99"/>
    <w:semiHidden/>
    <w:rsid w:val="005806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580648"/>
    <w:pPr>
      <w:spacing w:after="240" w:line="276" w:lineRule="auto"/>
      <w:ind w:firstLine="284"/>
      <w:jc w:val="both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580648"/>
    <w:rPr>
      <w:rFonts w:ascii="Calibri" w:hAnsi="Calibri" w:cs="Times New Roman"/>
      <w:lang w:val="cs-CZ" w:eastAsia="en-US"/>
    </w:rPr>
  </w:style>
  <w:style w:type="paragraph" w:customStyle="1" w:styleId="Seznambody">
    <w:name w:val="Seznam body"/>
    <w:basedOn w:val="Normln"/>
    <w:link w:val="SeznambodyChar"/>
    <w:uiPriority w:val="99"/>
    <w:rsid w:val="00580648"/>
    <w:pPr>
      <w:numPr>
        <w:numId w:val="4"/>
      </w:numPr>
      <w:spacing w:before="120" w:after="120" w:line="240" w:lineRule="auto"/>
      <w:jc w:val="both"/>
    </w:pPr>
    <w:rPr>
      <w:rFonts w:ascii="Arial" w:hAnsi="Arial"/>
      <w:bCs/>
      <w:sz w:val="24"/>
      <w:szCs w:val="24"/>
    </w:rPr>
  </w:style>
  <w:style w:type="character" w:customStyle="1" w:styleId="SeznambodyChar">
    <w:name w:val="Seznam body Char"/>
    <w:link w:val="Seznambody"/>
    <w:uiPriority w:val="99"/>
    <w:locked/>
    <w:rsid w:val="00580648"/>
    <w:rPr>
      <w:rFonts w:ascii="Arial" w:hAnsi="Arial" w:cs="Times New Roman"/>
      <w:bCs/>
      <w:sz w:val="24"/>
      <w:szCs w:val="24"/>
      <w:lang w:val="cs-CZ" w:eastAsia="en-US" w:bidi="ar-SA"/>
    </w:rPr>
  </w:style>
  <w:style w:type="paragraph" w:customStyle="1" w:styleId="MDSR">
    <w:name w:val="MDS ČR"/>
    <w:basedOn w:val="Normln"/>
    <w:uiPriority w:val="99"/>
    <w:rsid w:val="00013271"/>
    <w:pPr>
      <w:overflowPunct w:val="0"/>
      <w:autoSpaceDE w:val="0"/>
      <w:autoSpaceDN w:val="0"/>
      <w:spacing w:before="120"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12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1095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kopecky</dc:creator>
  <cp:keywords/>
  <dc:description/>
  <cp:lastModifiedBy>Kobera Václav JUDr.</cp:lastModifiedBy>
  <cp:revision>2</cp:revision>
  <dcterms:created xsi:type="dcterms:W3CDTF">2015-04-01T11:06:00Z</dcterms:created>
  <dcterms:modified xsi:type="dcterms:W3CDTF">2015-04-01T11:06:00Z</dcterms:modified>
</cp:coreProperties>
</file>